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C84A3" w14:textId="77777777" w:rsidR="000E6B62" w:rsidRDefault="000E6B62" w:rsidP="003543B2">
      <w:pPr>
        <w:jc w:val="center"/>
        <w:rPr>
          <w:b/>
          <w:sz w:val="36"/>
        </w:rPr>
      </w:pPr>
      <w:r>
        <w:rPr>
          <w:b/>
          <w:sz w:val="36"/>
        </w:rPr>
        <w:t>DEMİRAĞ OSB İSALE HATTI PROJESİ</w:t>
      </w:r>
    </w:p>
    <w:p w14:paraId="062B16A5" w14:textId="68086E4E" w:rsidR="00307B00" w:rsidRDefault="001A1801" w:rsidP="003543B2">
      <w:pPr>
        <w:jc w:val="center"/>
        <w:rPr>
          <w:b/>
          <w:sz w:val="36"/>
        </w:rPr>
      </w:pPr>
      <w:r w:rsidRPr="001A1801">
        <w:rPr>
          <w:b/>
          <w:sz w:val="36"/>
        </w:rPr>
        <w:t>FİZİBİLİTE RAPOR</w:t>
      </w:r>
      <w:r w:rsidRPr="00805118">
        <w:rPr>
          <w:b/>
          <w:sz w:val="36"/>
        </w:rPr>
        <w:t>U</w:t>
      </w:r>
      <w:r w:rsidR="000E6B62">
        <w:rPr>
          <w:b/>
          <w:sz w:val="36"/>
        </w:rPr>
        <w:t xml:space="preserve"> </w:t>
      </w:r>
      <w:r w:rsidRPr="00805118">
        <w:rPr>
          <w:b/>
          <w:sz w:val="36"/>
        </w:rPr>
        <w:t>SÖZLEŞME</w:t>
      </w:r>
      <w:r w:rsidR="000E6B62">
        <w:rPr>
          <w:b/>
          <w:sz w:val="36"/>
        </w:rPr>
        <w:t>Sİ</w:t>
      </w:r>
    </w:p>
    <w:p w14:paraId="3E10772E" w14:textId="77777777" w:rsidR="00A53C22" w:rsidRPr="00805118" w:rsidRDefault="00A53C22" w:rsidP="00A52F57">
      <w:pPr>
        <w:jc w:val="both"/>
        <w:rPr>
          <w:b/>
          <w:sz w:val="36"/>
        </w:rPr>
      </w:pPr>
    </w:p>
    <w:p w14:paraId="18B9053E" w14:textId="67357C05" w:rsidR="001A1801" w:rsidRDefault="00BF74E2" w:rsidP="00A52F57">
      <w:pPr>
        <w:jc w:val="both"/>
        <w:rPr>
          <w:b/>
        </w:rPr>
      </w:pPr>
      <w:r>
        <w:rPr>
          <w:b/>
        </w:rPr>
        <w:t xml:space="preserve">İdare: </w:t>
      </w:r>
      <w:r w:rsidR="00942115">
        <w:t>Demirağ Organize Sanayi Bölgesi Müdürlüğü</w:t>
      </w:r>
    </w:p>
    <w:p w14:paraId="0D0AD3B9" w14:textId="66963F33" w:rsidR="00BF74E2" w:rsidRDefault="00BF74E2" w:rsidP="00A52F57">
      <w:pPr>
        <w:jc w:val="both"/>
        <w:rPr>
          <w:b/>
        </w:rPr>
      </w:pPr>
      <w:r>
        <w:rPr>
          <w:b/>
        </w:rPr>
        <w:t xml:space="preserve">Yüklenici: </w:t>
      </w:r>
    </w:p>
    <w:p w14:paraId="73691C86" w14:textId="3AD08831" w:rsidR="00BF74E2" w:rsidRPr="00805118" w:rsidRDefault="00BF74E2" w:rsidP="00A52F57">
      <w:pPr>
        <w:jc w:val="both"/>
        <w:rPr>
          <w:b/>
        </w:rPr>
      </w:pPr>
      <w:r>
        <w:rPr>
          <w:b/>
        </w:rPr>
        <w:t xml:space="preserve">Ajans: </w:t>
      </w:r>
      <w:r w:rsidR="00942115">
        <w:t>Oran</w:t>
      </w:r>
      <w:r w:rsidRPr="00BF74E2">
        <w:t xml:space="preserve"> Kalkınma Ajansı</w:t>
      </w:r>
    </w:p>
    <w:p w14:paraId="227822FD" w14:textId="77777777" w:rsidR="007C0097" w:rsidRPr="00805118" w:rsidRDefault="008F3B58" w:rsidP="00A52F57">
      <w:pPr>
        <w:jc w:val="both"/>
      </w:pPr>
      <w:r>
        <w:rPr>
          <w:b/>
        </w:rPr>
        <w:t>Kapsam</w:t>
      </w:r>
      <w:r w:rsidR="00E17DB5" w:rsidRPr="00805118">
        <w:t xml:space="preserve">: </w:t>
      </w:r>
    </w:p>
    <w:p w14:paraId="75E3035F" w14:textId="140F6941" w:rsidR="00087779" w:rsidRDefault="00087779" w:rsidP="00A52F57">
      <w:pPr>
        <w:jc w:val="both"/>
      </w:pPr>
      <w:r>
        <w:t xml:space="preserve">İşbu sözleşme, </w:t>
      </w:r>
      <w:r w:rsidR="00942115">
        <w:t>Oran</w:t>
      </w:r>
      <w:r>
        <w:t xml:space="preserve"> Kalkınma Ajansı ile imzalanan </w:t>
      </w:r>
      <w:r w:rsidRPr="008D18F6">
        <w:rPr>
          <w:b/>
          <w:bCs/>
        </w:rPr>
        <w:t>TR</w:t>
      </w:r>
      <w:r w:rsidR="00942115" w:rsidRPr="008D18F6">
        <w:rPr>
          <w:b/>
          <w:bCs/>
        </w:rPr>
        <w:t>72</w:t>
      </w:r>
      <w:r w:rsidRPr="008D18F6">
        <w:rPr>
          <w:b/>
          <w:bCs/>
        </w:rPr>
        <w:t>/1</w:t>
      </w:r>
      <w:r w:rsidR="00942115" w:rsidRPr="008D18F6">
        <w:rPr>
          <w:b/>
          <w:bCs/>
        </w:rPr>
        <w:t>9</w:t>
      </w:r>
      <w:r w:rsidRPr="008D18F6">
        <w:rPr>
          <w:b/>
          <w:bCs/>
        </w:rPr>
        <w:t>/FZD/</w:t>
      </w:r>
      <w:r w:rsidR="00942115" w:rsidRPr="008D18F6">
        <w:rPr>
          <w:b/>
          <w:bCs/>
        </w:rPr>
        <w:t>0009</w:t>
      </w:r>
      <w:r>
        <w:t xml:space="preserve"> numaralı “</w:t>
      </w:r>
      <w:bookmarkStart w:id="0" w:name="_Hlk24962093"/>
      <w:r w:rsidR="00942115" w:rsidRPr="008D18F6">
        <w:rPr>
          <w:b/>
          <w:bCs/>
        </w:rPr>
        <w:t>Demirağ OSB İsale Hattı Projesi</w:t>
      </w:r>
      <w:bookmarkEnd w:id="0"/>
      <w:r>
        <w:t>” destek sözleşmesi kapsamında, “</w:t>
      </w:r>
      <w:r w:rsidR="00942115">
        <w:t>Demirağ OSB İsale Hattı Projesi</w:t>
      </w:r>
      <w:r>
        <w:t>” hizmetinin yerine getirilmesini kapsamaktadır. Yararlanıcı olarak idarenin ve fizibilite raporu hizmetinin alındığı yüklenicinin bu destek sözleşmesinde ifade edilen yükümlülükleri,  “</w:t>
      </w:r>
      <w:r w:rsidR="00942115">
        <w:t>Demirağ OSB İsale Hattı Projesi</w:t>
      </w:r>
      <w:r>
        <w:t>” hizmetinin yerine getirilmesine yönelik sözleşmenin de ayrılmaz bir parçasıdır.</w:t>
      </w:r>
    </w:p>
    <w:p w14:paraId="21054DF2" w14:textId="77777777" w:rsidR="00087779" w:rsidRPr="008F3B58" w:rsidRDefault="00087779" w:rsidP="00A52F57">
      <w:pPr>
        <w:jc w:val="both"/>
        <w:rPr>
          <w:b/>
        </w:rPr>
      </w:pPr>
      <w:r w:rsidRPr="008F3B58">
        <w:rPr>
          <w:b/>
        </w:rPr>
        <w:t>İşin Süresi</w:t>
      </w:r>
      <w:r w:rsidR="00535177">
        <w:rPr>
          <w:b/>
        </w:rPr>
        <w:t xml:space="preserve"> ve Teslimi</w:t>
      </w:r>
      <w:r w:rsidR="008F3B58" w:rsidRPr="008F3B58">
        <w:rPr>
          <w:b/>
        </w:rPr>
        <w:t>:</w:t>
      </w:r>
      <w:r w:rsidR="00535177">
        <w:rPr>
          <w:b/>
        </w:rPr>
        <w:t xml:space="preserve"> </w:t>
      </w:r>
    </w:p>
    <w:p w14:paraId="0F3248B9" w14:textId="6C13F019" w:rsidR="00087779" w:rsidRDefault="00535177" w:rsidP="00A52F57">
      <w:pPr>
        <w:jc w:val="both"/>
      </w:pPr>
      <w:r>
        <w:t>İşin süresi, “</w:t>
      </w:r>
      <w:r w:rsidR="00CC4950" w:rsidRPr="00CC4950">
        <w:rPr>
          <w:b/>
          <w:bCs/>
        </w:rPr>
        <w:t>2</w:t>
      </w:r>
      <w:r w:rsidR="008D18F6">
        <w:rPr>
          <w:b/>
          <w:bCs/>
        </w:rPr>
        <w:t>2</w:t>
      </w:r>
      <w:r w:rsidR="00FC798E" w:rsidRPr="008D18F6">
        <w:rPr>
          <w:b/>
          <w:bCs/>
        </w:rPr>
        <w:t>/</w:t>
      </w:r>
      <w:r w:rsidR="008D18F6" w:rsidRPr="008D18F6">
        <w:rPr>
          <w:b/>
          <w:bCs/>
        </w:rPr>
        <w:t>01</w:t>
      </w:r>
      <w:r w:rsidR="00FC798E" w:rsidRPr="008D18F6">
        <w:rPr>
          <w:b/>
          <w:bCs/>
        </w:rPr>
        <w:t>/20</w:t>
      </w:r>
      <w:r w:rsidR="008D18F6" w:rsidRPr="008D18F6">
        <w:rPr>
          <w:b/>
          <w:bCs/>
        </w:rPr>
        <w:t>20</w:t>
      </w:r>
      <w:r>
        <w:t>” tarihi</w:t>
      </w:r>
      <w:r w:rsidR="00087779">
        <w:t xml:space="preserve">nden başlamak kaydı ile, </w:t>
      </w:r>
      <w:r w:rsidR="00FC798E">
        <w:t>1</w:t>
      </w:r>
      <w:r w:rsidR="00CC4950">
        <w:t>0</w:t>
      </w:r>
      <w:r w:rsidR="008D18F6">
        <w:t>0</w:t>
      </w:r>
      <w:r w:rsidR="00087779">
        <w:t xml:space="preserve"> </w:t>
      </w:r>
      <w:r w:rsidR="008613D2">
        <w:t xml:space="preserve">takvim </w:t>
      </w:r>
      <w:r w:rsidR="00087779">
        <w:t>gün</w:t>
      </w:r>
      <w:r w:rsidR="008613D2">
        <w:t>ü</w:t>
      </w:r>
      <w:r w:rsidR="00087779">
        <w:t xml:space="preserve"> olup, fizibilite raporu</w:t>
      </w:r>
      <w:r>
        <w:t>nun eksiksiz biçimde teslim tarihi “</w:t>
      </w:r>
      <w:r w:rsidR="008D18F6" w:rsidRPr="008D18F6">
        <w:rPr>
          <w:b/>
          <w:bCs/>
        </w:rPr>
        <w:t>30</w:t>
      </w:r>
      <w:r w:rsidR="00FC798E" w:rsidRPr="008D18F6">
        <w:rPr>
          <w:b/>
          <w:bCs/>
        </w:rPr>
        <w:t>/0</w:t>
      </w:r>
      <w:r w:rsidR="008D18F6" w:rsidRPr="008D18F6">
        <w:rPr>
          <w:b/>
          <w:bCs/>
        </w:rPr>
        <w:t>4</w:t>
      </w:r>
      <w:r w:rsidR="00FC798E" w:rsidRPr="008D18F6">
        <w:rPr>
          <w:b/>
          <w:bCs/>
        </w:rPr>
        <w:t>/2020</w:t>
      </w:r>
      <w:r>
        <w:t>” tarihidir</w:t>
      </w:r>
      <w:r w:rsidR="00087779">
        <w:t>.</w:t>
      </w:r>
      <w:r w:rsidR="002820BD">
        <w:t xml:space="preserve"> Ancak İdare ve Yüklenici arasındaki işbu sözleşmenin yükümlülükleri, fizibilite raporu içeriği ajans tarafından uygun görülünceye dek devam eder.</w:t>
      </w:r>
    </w:p>
    <w:p w14:paraId="171C8A58" w14:textId="4FB01504" w:rsidR="008613D2" w:rsidRDefault="008613D2" w:rsidP="00A52F57">
      <w:pPr>
        <w:jc w:val="both"/>
      </w:pPr>
      <w:r>
        <w:t xml:space="preserve">Yüklenici, sözleşmede öngörülen süre içerisinde fizibilite raporunu </w:t>
      </w:r>
      <w:r w:rsidR="006E4225">
        <w:t xml:space="preserve">hizmet kabulüne hazır olacak şekilde tamamlayarak </w:t>
      </w:r>
      <w:r w:rsidR="008F6745">
        <w:t>idareye</w:t>
      </w:r>
      <w:r w:rsidR="006E4225">
        <w:t xml:space="preserve"> eksiksiz teslim etmek </w:t>
      </w:r>
      <w:r>
        <w:t xml:space="preserve">ve hizmet faturasını en geç </w:t>
      </w:r>
      <w:r w:rsidR="00535177">
        <w:t>&lt;</w:t>
      </w:r>
      <w:r w:rsidR="008D18F6" w:rsidRPr="008D18F6">
        <w:rPr>
          <w:b/>
          <w:bCs/>
        </w:rPr>
        <w:t>30</w:t>
      </w:r>
      <w:r w:rsidR="00FC798E" w:rsidRPr="008D18F6">
        <w:rPr>
          <w:b/>
          <w:bCs/>
        </w:rPr>
        <w:t>/0</w:t>
      </w:r>
      <w:r w:rsidR="008D18F6" w:rsidRPr="008D18F6">
        <w:rPr>
          <w:b/>
          <w:bCs/>
        </w:rPr>
        <w:t>4</w:t>
      </w:r>
      <w:r w:rsidR="00FC798E" w:rsidRPr="008D18F6">
        <w:rPr>
          <w:b/>
          <w:bCs/>
        </w:rPr>
        <w:t>/2020</w:t>
      </w:r>
      <w:r w:rsidR="00535177">
        <w:t xml:space="preserve">&gt; tarihinde </w:t>
      </w:r>
      <w:r>
        <w:t xml:space="preserve">keserek idareye iletmek durumundadır. </w:t>
      </w:r>
    </w:p>
    <w:p w14:paraId="3CF42118" w14:textId="77777777" w:rsidR="008F3B58" w:rsidRDefault="008F3B58" w:rsidP="00A52F57">
      <w:pPr>
        <w:jc w:val="both"/>
        <w:rPr>
          <w:b/>
        </w:rPr>
      </w:pPr>
      <w:r w:rsidRPr="008F3B58">
        <w:rPr>
          <w:b/>
        </w:rPr>
        <w:t>Hizmetin İfası</w:t>
      </w:r>
    </w:p>
    <w:p w14:paraId="7CA6685C" w14:textId="0B3E0B6F" w:rsidR="00F45401" w:rsidRDefault="00F45401" w:rsidP="00A52F57">
      <w:pPr>
        <w:jc w:val="both"/>
      </w:pPr>
      <w:r w:rsidRPr="00E76076">
        <w:t xml:space="preserve">Fizibilite raporunun teknik şartname eki olan </w:t>
      </w:r>
      <w:r w:rsidR="00535177">
        <w:t>“</w:t>
      </w:r>
      <w:r w:rsidRPr="00E76076">
        <w:t>Fizibilite Raporu Formatı</w:t>
      </w:r>
      <w:r w:rsidR="00535177">
        <w:t xml:space="preserve">” </w:t>
      </w:r>
      <w:r w:rsidRPr="00E76076">
        <w:t>na uygun hazırlanması zorunlu olup</w:t>
      </w:r>
      <w:r w:rsidR="00535177">
        <w:t>,</w:t>
      </w:r>
      <w:r w:rsidRPr="00E76076">
        <w:t xml:space="preserve"> raporun hazırlanması sırasında kullanılan kaynaklar raporun ekinde kaynaklar listesinde açık biçimde yer almalıdır.</w:t>
      </w:r>
      <w:r w:rsidR="00EA60DB">
        <w:t xml:space="preserve"> Fizibilite içerisinde kullanılan veriler güncel ve verilerin alındıkları kaynaklar güvenilir/resmi olmalıdır. </w:t>
      </w:r>
    </w:p>
    <w:p w14:paraId="16FE9F0A" w14:textId="77777777" w:rsidR="004A57B9" w:rsidRDefault="004A57B9" w:rsidP="00A52F57">
      <w:pPr>
        <w:jc w:val="both"/>
      </w:pPr>
      <w:r w:rsidRPr="00E76076">
        <w:t xml:space="preserve">Fizibilite raporu için </w:t>
      </w:r>
      <w:r w:rsidR="002820BD">
        <w:t>gerek duyulan destek etütleri (a</w:t>
      </w:r>
      <w:r w:rsidRPr="00E76076">
        <w:t>nketler, ayrıntılı alt sektör ve pazar etütleri, teknoloji etütleri, kuruluş yeri arazi – zemin etütleri, ayrıntılı hammadde etütleri, ÇED Raporları, uzun dönemli meteorolojik izleme vb.) yüklenici tarafından gerçekleştirilecek olup bu çalı</w:t>
      </w:r>
      <w:r w:rsidR="00535177">
        <w:t>ş</w:t>
      </w:r>
      <w:r w:rsidRPr="00E76076">
        <w:t>malar ile ilgili yapılacak olan harcamalar ( yemek, ulaşım ve kon</w:t>
      </w:r>
      <w:r>
        <w:t xml:space="preserve">aklama vb.) </w:t>
      </w:r>
      <w:r w:rsidR="00535177">
        <w:t xml:space="preserve">tamamen </w:t>
      </w:r>
      <w:r>
        <w:t>yükleniciye aittir.</w:t>
      </w:r>
    </w:p>
    <w:p w14:paraId="412801CC" w14:textId="77777777" w:rsidR="00E76076" w:rsidRDefault="00E76076" w:rsidP="00A52F57">
      <w:pPr>
        <w:jc w:val="both"/>
      </w:pPr>
      <w:r>
        <w:t>Sözleşme imzalanması sonrası</w:t>
      </w:r>
      <w:r w:rsidR="00BF74E2">
        <w:t xml:space="preserve"> </w:t>
      </w:r>
      <w:r>
        <w:t>f</w:t>
      </w:r>
      <w:r w:rsidR="00535177">
        <w:t>izibilite raporunu hazırlamakla görevlendirilen,</w:t>
      </w:r>
      <w:r w:rsidR="00BF74E2">
        <w:t xml:space="preserve"> teknik şartnameye uygun niteliklerde seçilmiş</w:t>
      </w:r>
      <w:r w:rsidR="00535177">
        <w:t xml:space="preserve"> ekip lideri ve diğer personel(ler)in</w:t>
      </w:r>
      <w:r w:rsidRPr="00E76076">
        <w:t xml:space="preserve"> ö</w:t>
      </w:r>
      <w:r>
        <w:t xml:space="preserve">zgeçmişleri, görev tanımları, açık iletişim adresleri </w:t>
      </w:r>
      <w:r w:rsidR="00535177">
        <w:t xml:space="preserve">en geç </w:t>
      </w:r>
      <w:r>
        <w:t xml:space="preserve">1 hafta içerisinde idareye ve Ajansa bildirilmelidir. İşbu sözleşme kapsamında adres, telefon ve e-posta adresleri açıkça bildirilen ekip üyelerinden herhangi birine </w:t>
      </w:r>
      <w:r w:rsidR="00535177">
        <w:t>İ</w:t>
      </w:r>
      <w:r>
        <w:t>dare veya Ajans tarafından yapılacak bildirim, yüklenici tüzel kişiliğine yapılmış sayılır</w:t>
      </w:r>
      <w:r w:rsidR="00535177">
        <w:t xml:space="preserve"> ve bağlayıcılık içerir</w:t>
      </w:r>
      <w:r>
        <w:t xml:space="preserve">.  </w:t>
      </w:r>
    </w:p>
    <w:p w14:paraId="36D9CDAB" w14:textId="77777777" w:rsidR="00E76076" w:rsidRDefault="00E76076" w:rsidP="00A52F57">
      <w:pPr>
        <w:jc w:val="both"/>
      </w:pPr>
      <w:r w:rsidRPr="00E76076">
        <w:t>Fizibilite raporunun hazırlanması sırasında</w:t>
      </w:r>
      <w:r>
        <w:t xml:space="preserve">, Ajansın </w:t>
      </w:r>
      <w:r w:rsidR="00BF74E2">
        <w:t>i</w:t>
      </w:r>
      <w:r>
        <w:t>dareye yönelik gerçekleştireceği</w:t>
      </w:r>
      <w:r w:rsidRPr="00E76076">
        <w:t xml:space="preserve"> </w:t>
      </w:r>
      <w:r w:rsidR="00535177">
        <w:t>iki (2)</w:t>
      </w:r>
      <w:r>
        <w:t xml:space="preserve"> izleme ziyareti söz konusu olacaktır. Bu tarihlerin Ajans ve İdare </w:t>
      </w:r>
      <w:r w:rsidR="00535177">
        <w:t>tarafından</w:t>
      </w:r>
      <w:r>
        <w:t xml:space="preserve"> belirlenmesini müteakip yüklenici</w:t>
      </w:r>
      <w:r w:rsidR="00BF74E2">
        <w:t xml:space="preserve"> bilgilendirilecektir. İzleme ziyaretleri esnasında, yüklenici</w:t>
      </w:r>
      <w:r>
        <w:t xml:space="preserve"> temsilcilerinin de izleme ziyaretlerinde </w:t>
      </w:r>
      <w:r>
        <w:lastRenderedPageBreak/>
        <w:t>bulunarak</w:t>
      </w:r>
      <w:r w:rsidR="00BF74E2">
        <w:t xml:space="preserve"> </w:t>
      </w:r>
      <w:r>
        <w:t>fizibilite hazırlama sürecinin ilerleyişi ile ilgili İdare ve Ajansı bilgilendirme</w:t>
      </w:r>
      <w:r w:rsidR="00BF74E2">
        <w:t xml:space="preserve">, gerektiği hallerde sunum gerçekleştirme </w:t>
      </w:r>
      <w:r>
        <w:t>yükümlülüğü bulunmaktadır.</w:t>
      </w:r>
    </w:p>
    <w:p w14:paraId="5CB3FBCD" w14:textId="77777777" w:rsidR="00E76076" w:rsidRDefault="00E76076" w:rsidP="00A52F57">
      <w:pPr>
        <w:jc w:val="both"/>
      </w:pPr>
      <w:r w:rsidRPr="00E76076">
        <w:t>Yüklenici sözleşme konusu fizibilite çalışması kapsamında yapacağı her türlü saha çalışmaları (anket vs.) hakkında uygun iletişim araçlarını kullanarak önceden i</w:t>
      </w:r>
      <w:r w:rsidR="00BF74E2">
        <w:t>dareyi</w:t>
      </w:r>
      <w:r w:rsidRPr="00E76076">
        <w:t xml:space="preserve"> ve ajansı bilgilendirmekle mükelleftir.  Ajans uzmanları gerekli görürse her türlü saha çalışmalarına ve diğer çalışmalara katılabilir. Yüklenici firma bu tür çalışmalarda ajans uzmanına her türlü bilgiyi vermek ve gereken yardımın yapılmasını sağlamakla mükelleftir. </w:t>
      </w:r>
    </w:p>
    <w:p w14:paraId="7FCFC9C6" w14:textId="77777777" w:rsidR="008F3B58" w:rsidRPr="00F45401" w:rsidRDefault="004A57B9" w:rsidP="00A52F57">
      <w:pPr>
        <w:jc w:val="both"/>
      </w:pPr>
      <w:r w:rsidRPr="00E76076">
        <w:t>Yüklenici, fizibilite çalışmasının, daha önce başka kurum ve kuruluşlar tarafından yapılmış bir çalışmanın tekrarı olmadığını, etik dışı (sahtecilik, intihal, çarpıtma, tekrar yayım, haksız yazarlık, uydurmacılık ve benzeri) unsurları içermediğini beyan ve taahhüt eder. Aksi durumda işveren sözleşmey</w:t>
      </w:r>
      <w:r>
        <w:t>i feshetme hakkını saklı tutar.</w:t>
      </w:r>
    </w:p>
    <w:p w14:paraId="617CBD1E" w14:textId="77777777" w:rsidR="008F3B58" w:rsidRPr="008F3B58" w:rsidRDefault="008F3B58" w:rsidP="00A52F57">
      <w:pPr>
        <w:jc w:val="both"/>
        <w:rPr>
          <w:b/>
        </w:rPr>
      </w:pPr>
      <w:r w:rsidRPr="008F3B58">
        <w:rPr>
          <w:b/>
        </w:rPr>
        <w:t>Raporlama Yükümlülükleri ve Ödeme Koşulları:</w:t>
      </w:r>
    </w:p>
    <w:p w14:paraId="09702269" w14:textId="27E5BFE8" w:rsidR="00941FE9" w:rsidRDefault="00941FE9" w:rsidP="00A52F57">
      <w:pPr>
        <w:jc w:val="both"/>
      </w:pPr>
      <w:r>
        <w:t>Yüklenici</w:t>
      </w:r>
      <w:r w:rsidR="00087779" w:rsidRPr="00087779">
        <w:t xml:space="preserve"> proje süresi sona ermeden en az 20 işgünü önce </w:t>
      </w:r>
      <w:r w:rsidR="00535177">
        <w:t>&lt;</w:t>
      </w:r>
      <w:r w:rsidR="00FC798E" w:rsidRPr="008D18F6">
        <w:rPr>
          <w:b/>
          <w:bCs/>
        </w:rPr>
        <w:t>1</w:t>
      </w:r>
      <w:r w:rsidR="008D18F6" w:rsidRPr="008D18F6">
        <w:rPr>
          <w:b/>
          <w:bCs/>
        </w:rPr>
        <w:t>0</w:t>
      </w:r>
      <w:r w:rsidR="00FC798E" w:rsidRPr="008D18F6">
        <w:rPr>
          <w:b/>
          <w:bCs/>
        </w:rPr>
        <w:t>/04/2020</w:t>
      </w:r>
      <w:r w:rsidR="00535177">
        <w:t>&gt;</w:t>
      </w:r>
      <w:r w:rsidR="00535177" w:rsidRPr="00087779">
        <w:t xml:space="preserve"> </w:t>
      </w:r>
      <w:r w:rsidR="00087779" w:rsidRPr="00087779">
        <w:t>taslak olarak, proje kapsamında yapılan çalışmaları (rapor, fizibilite, katalog, tanıtım filmi, anket sonucu vb</w:t>
      </w:r>
      <w:r w:rsidR="00B24433">
        <w:t>.</w:t>
      </w:r>
      <w:r w:rsidR="00087779" w:rsidRPr="00087779">
        <w:t xml:space="preserve">) </w:t>
      </w:r>
      <w:r>
        <w:t xml:space="preserve">idareye ve </w:t>
      </w:r>
      <w:r w:rsidR="00087779" w:rsidRPr="00087779">
        <w:t>ajansa yazılı olarak ekleriyle birlikte gönderecektir. Ajans</w:t>
      </w:r>
      <w:r w:rsidR="008613D2">
        <w:t>ın</w:t>
      </w:r>
      <w:r w:rsidR="00087779" w:rsidRPr="00087779">
        <w:t>, taslak üzerinden ön değerlendirme</w:t>
      </w:r>
      <w:r w:rsidR="008613D2">
        <w:t xml:space="preserve"> yapma</w:t>
      </w:r>
      <w:r w:rsidR="00087779" w:rsidRPr="00087779">
        <w:t>, ihtiyaç duyul</w:t>
      </w:r>
      <w:r w:rsidR="008613D2">
        <w:t>duğu takdirde</w:t>
      </w:r>
      <w:r w:rsidR="00087779" w:rsidRPr="00087779">
        <w:t xml:space="preserve"> proje sözleşme süresinin sonuna kadar eksikliklerin giderilmesi için </w:t>
      </w:r>
      <w:r w:rsidR="008F6745">
        <w:t xml:space="preserve">İdare </w:t>
      </w:r>
      <w:r>
        <w:t>ve Yüklenici’ye</w:t>
      </w:r>
      <w:r w:rsidR="00087779" w:rsidRPr="00087779">
        <w:t xml:space="preserve"> geri bildirimde bulun</w:t>
      </w:r>
      <w:r w:rsidR="008613D2">
        <w:t>ma hakkı vardır</w:t>
      </w:r>
      <w:r w:rsidR="00087779" w:rsidRPr="00087779">
        <w:t xml:space="preserve">. </w:t>
      </w:r>
      <w:r w:rsidR="009E2FFF" w:rsidRPr="00B14932">
        <w:rPr>
          <w:i/>
        </w:rPr>
        <w:t>Taslak rapor</w:t>
      </w:r>
      <w:r w:rsidR="008613D2">
        <w:rPr>
          <w:i/>
        </w:rPr>
        <w:t>un</w:t>
      </w:r>
      <w:r w:rsidR="009E2FFF" w:rsidRPr="00B14932">
        <w:rPr>
          <w:i/>
        </w:rPr>
        <w:t xml:space="preserve"> Ajansa iletilmediği </w:t>
      </w:r>
      <w:r w:rsidR="008613D2">
        <w:rPr>
          <w:i/>
        </w:rPr>
        <w:t xml:space="preserve">veya yeterli görülmediği </w:t>
      </w:r>
      <w:r w:rsidR="009E2FFF" w:rsidRPr="00B14932">
        <w:rPr>
          <w:i/>
        </w:rPr>
        <w:t>hallerde, Ajans tarafından</w:t>
      </w:r>
      <w:r w:rsidR="002A54C7">
        <w:rPr>
          <w:i/>
        </w:rPr>
        <w:t xml:space="preserve"> </w:t>
      </w:r>
      <w:r w:rsidR="00535177">
        <w:rPr>
          <w:i/>
        </w:rPr>
        <w:t xml:space="preserve">idareye, idare tarafındansa </w:t>
      </w:r>
      <w:r w:rsidR="002A54C7">
        <w:rPr>
          <w:i/>
        </w:rPr>
        <w:t>yükleniciye</w:t>
      </w:r>
      <w:r w:rsidR="009E2FFF" w:rsidRPr="00B14932">
        <w:rPr>
          <w:i/>
        </w:rPr>
        <w:t xml:space="preserve"> hiçbir şekilde ön ödeme yapılmaz.</w:t>
      </w:r>
    </w:p>
    <w:p w14:paraId="2DE4C8F3" w14:textId="71B54B08" w:rsidR="009E2FFF" w:rsidRDefault="002820BD" w:rsidP="00A52F57">
      <w:pPr>
        <w:jc w:val="both"/>
      </w:pPr>
      <w:r>
        <w:t xml:space="preserve">İdare </w:t>
      </w:r>
      <w:r w:rsidR="008F6745">
        <w:t xml:space="preserve">Ajans ile birlikte </w:t>
      </w:r>
      <w:r>
        <w:t>nihai raporda</w:t>
      </w:r>
      <w:r w:rsidR="00535177">
        <w:t xml:space="preserve"> sunulacak fizibilite r</w:t>
      </w:r>
      <w:r w:rsidR="009E2FFF" w:rsidRPr="00696496">
        <w:t>aporunun</w:t>
      </w:r>
      <w:r w:rsidR="009E2FFF" w:rsidRPr="00B24433">
        <w:t>, şekil, içerik ve kalite bakımından</w:t>
      </w:r>
      <w:r w:rsidR="009E2FFF" w:rsidRPr="00696496">
        <w:t xml:space="preserve"> uygunluğunu kontrol eder. </w:t>
      </w:r>
      <w:r w:rsidR="008F6745">
        <w:t>Ajans ve İdare tarafından yapılan</w:t>
      </w:r>
      <w:r>
        <w:t xml:space="preserve"> değerlendirilme</w:t>
      </w:r>
      <w:r w:rsidR="009E2FFF">
        <w:t xml:space="preserve"> sonucunda ihtiyaç duyulduğu takdirde </w:t>
      </w:r>
      <w:r>
        <w:t>yükleniciye</w:t>
      </w:r>
      <w:r w:rsidR="009E2FFF">
        <w:t xml:space="preserve"> “Düzeltme Raporu” sunulur.</w:t>
      </w:r>
      <w:r w:rsidR="008613D2">
        <w:t xml:space="preserve"> </w:t>
      </w:r>
      <w:r w:rsidR="008F6745">
        <w:t>İdarenin</w:t>
      </w:r>
      <w:r w:rsidR="008613D2" w:rsidRPr="009E2FFF">
        <w:t xml:space="preserve"> talep ettiğ</w:t>
      </w:r>
      <w:r>
        <w:t xml:space="preserve">i düzeltmelere cevap verilmesi </w:t>
      </w:r>
      <w:r w:rsidR="008613D2">
        <w:t xml:space="preserve">yüklenicinin sorumluluğundadır. </w:t>
      </w:r>
      <w:r w:rsidR="009E2FFF">
        <w:t xml:space="preserve"> “</w:t>
      </w:r>
      <w:r w:rsidR="00FC798E">
        <w:t>Demirağ OSB İsale Hattı Projesi</w:t>
      </w:r>
      <w:r w:rsidR="009E2FFF">
        <w:t>” na ait düzeltme süreci, yalnızca bir defaya mahsus olmak üzere,  ajansın</w:t>
      </w:r>
      <w:r w:rsidR="00326F21">
        <w:t xml:space="preserve"> </w:t>
      </w:r>
      <w:r w:rsidR="00BF2DB0">
        <w:t>veya idarenin</w:t>
      </w:r>
      <w:r w:rsidR="009E2FFF">
        <w:t xml:space="preserve"> yazılı bildiriminin ardından 10 iş</w:t>
      </w:r>
      <w:r w:rsidR="008613D2">
        <w:t xml:space="preserve"> </w:t>
      </w:r>
      <w:r w:rsidR="009E2FFF">
        <w:t xml:space="preserve">günü içerisinde tamamlanmalıdır. </w:t>
      </w:r>
    </w:p>
    <w:p w14:paraId="3CFDCB99" w14:textId="29519323" w:rsidR="002820BD" w:rsidRDefault="009E2FFF" w:rsidP="00A52F57">
      <w:pPr>
        <w:jc w:val="both"/>
      </w:pPr>
      <w:r w:rsidRPr="009E2FFF">
        <w:t xml:space="preserve">Ajans yapacağı değerlendirme sonucunda, sunulan fizibilite raporunun belirlediği kriterlere uygun olduğuna karar verinceye dek </w:t>
      </w:r>
      <w:r w:rsidR="00BF2DB0">
        <w:t xml:space="preserve">idareye </w:t>
      </w:r>
      <w:r w:rsidRPr="009E2FFF">
        <w:t xml:space="preserve">nihai ödemeyi gerçekleştirmez.  </w:t>
      </w:r>
      <w:r>
        <w:t xml:space="preserve">Ajans, düzeltme işlemine </w:t>
      </w:r>
      <w:r w:rsidRPr="009E2FFF">
        <w:t>rağmen belirlenen kriterlere hala uygun olmayan fizibilite raporlarına ait destek sözleşmelerini feshetme hakkına sahiptir.</w:t>
      </w:r>
      <w:r w:rsidR="008613D2">
        <w:t xml:space="preserve"> </w:t>
      </w:r>
      <w:r w:rsidR="00BF2DB0">
        <w:t xml:space="preserve">İdarenin </w:t>
      </w:r>
      <w:r w:rsidR="008613D2">
        <w:t xml:space="preserve">işbu sözleşme kapsamında alacağı ödemeler, Ajansın vereceği desteğe bağlıdır. </w:t>
      </w:r>
      <w:r w:rsidR="00BF2DB0">
        <w:t>Bu husus yükleniciye yapılacak ödemelerin belirlenmesine esas teşkil eder.</w:t>
      </w:r>
      <w:r w:rsidR="00220584">
        <w:t xml:space="preserve"> Yüklenici tarafından düzeltme raporu sonucu sunulan nihai fizibilite raporunun idare ve Ajans tarafından belirlenen kriterleri taşımadığının tespit edilmesi </w:t>
      </w:r>
      <w:r w:rsidR="009660E7">
        <w:t>ve hizmet kabulünün yapılmaması halinde</w:t>
      </w:r>
      <w:r w:rsidR="00220584">
        <w:t xml:space="preserve"> idare yükleniciye ödeme yapmama hakkını saklı tutar ve bu durumda yüklenici herhangi bir hak talebinde bulunamaz.</w:t>
      </w:r>
    </w:p>
    <w:p w14:paraId="6F7884B2" w14:textId="77777777" w:rsidR="009E2FFF" w:rsidRDefault="002820BD" w:rsidP="00A52F57">
      <w:pPr>
        <w:jc w:val="both"/>
      </w:pPr>
      <w:r>
        <w:t>İşbu sözleşme kapsamında öngörülen tarihlerin (taslak raporun Ajansın değerlendirilmesine sunulması, nihai fizibilite raporunun idareye teslimi, düzeltme raporuna cevap verilmesi vb.) yükleniciden kaynaklanan gecikm</w:t>
      </w:r>
      <w:r w:rsidR="00A53C22">
        <w:t>eler sebebiyle</w:t>
      </w:r>
      <w:r>
        <w:t xml:space="preserve"> aşılması sonucunda </w:t>
      </w:r>
      <w:r w:rsidR="00A53C22">
        <w:t>i</w:t>
      </w:r>
      <w:r>
        <w:t>darenin Ajans ile imzaladığı destek sözleşmesinden doğan yaptırımlar,</w:t>
      </w:r>
      <w:r w:rsidR="00A53C22">
        <w:t xml:space="preserve"> i</w:t>
      </w:r>
      <w:r>
        <w:t>dare tarafında</w:t>
      </w:r>
      <w:r w:rsidR="00A53C22">
        <w:t>n y</w:t>
      </w:r>
      <w:r>
        <w:t xml:space="preserve">ükleniciye yansıtılır.  </w:t>
      </w:r>
    </w:p>
    <w:p w14:paraId="7D8791E1" w14:textId="77777777" w:rsidR="008F3B58" w:rsidRDefault="008F3B58" w:rsidP="00A52F57">
      <w:pPr>
        <w:jc w:val="both"/>
        <w:rPr>
          <w:b/>
        </w:rPr>
      </w:pPr>
      <w:r w:rsidRPr="008F3B58">
        <w:rPr>
          <w:b/>
        </w:rPr>
        <w:t>Çıktıların Teslimi ve Görünürlük:</w:t>
      </w:r>
    </w:p>
    <w:p w14:paraId="54F45042" w14:textId="1325C35B" w:rsidR="009E2FFF" w:rsidRDefault="009E2FFF" w:rsidP="00A52F57">
      <w:pPr>
        <w:jc w:val="both"/>
      </w:pPr>
      <w:r w:rsidRPr="009E2FFF">
        <w:t xml:space="preserve">Yüklenici gerçekleştirilen faaliyetler neticesinde elde edilen araştırma, analiz, raporlama gibi her türlü dokümanı basılı olarak </w:t>
      </w:r>
      <w:r w:rsidR="00B24433">
        <w:t>&lt;</w:t>
      </w:r>
      <w:r w:rsidR="00FC798E">
        <w:t>10</w:t>
      </w:r>
      <w:r w:rsidR="00B24433">
        <w:t>&gt;</w:t>
      </w:r>
      <w:r w:rsidRPr="009E2FFF">
        <w:t xml:space="preserve"> nüsha ve elektronik formatta (CD/DVD) </w:t>
      </w:r>
      <w:r w:rsidR="00BF2DB0">
        <w:t xml:space="preserve">idareye </w:t>
      </w:r>
      <w:r w:rsidR="008613D2">
        <w:t xml:space="preserve">ve </w:t>
      </w:r>
      <w:r w:rsidRPr="009E2FFF">
        <w:t xml:space="preserve">ajansa sunmakla yükümlüdür. Değerlendirme sonucunda revizyon gerektiği takdirde, revizyona tabi çıktılarında tekrar aynı sayıda basılı olarak sunulması gerekmektedir. </w:t>
      </w:r>
    </w:p>
    <w:p w14:paraId="3BB7E6FE" w14:textId="46A79A56" w:rsidR="008F3B58" w:rsidRDefault="008F3B58" w:rsidP="00A52F57">
      <w:pPr>
        <w:jc w:val="both"/>
      </w:pPr>
      <w:r w:rsidRPr="00805118">
        <w:lastRenderedPageBreak/>
        <w:t>Yüklenici</w:t>
      </w:r>
      <w:r>
        <w:t>nin</w:t>
      </w:r>
      <w:r w:rsidRPr="00805118">
        <w:t xml:space="preserve">, yapılacak olan çalışmalar ve hazırlanacak olan tüm dokümanlarda Ajans’ın sağladığı mali desteği görünür kılmak ve tanıtmak için, </w:t>
      </w:r>
      <w:r w:rsidR="00FC798E">
        <w:t>Oran</w:t>
      </w:r>
      <w:r w:rsidRPr="00805118">
        <w:t xml:space="preserve"> internet sayfasında (www.</w:t>
      </w:r>
      <w:r w:rsidR="00FC798E">
        <w:t>oran</w:t>
      </w:r>
      <w:r w:rsidRPr="00805118">
        <w:t>.org.tr) yayınlanan Görünürlük Rehberine uygun olarak hareket etmesi gerekmekte olup görünürlük uygulamaları ile ilgili ajans uzmanının ön onayı gereklidir.</w:t>
      </w:r>
    </w:p>
    <w:p w14:paraId="19257126" w14:textId="77777777" w:rsidR="008F3B58" w:rsidRPr="008F3B58" w:rsidRDefault="008F3B58" w:rsidP="00A52F57">
      <w:pPr>
        <w:jc w:val="both"/>
        <w:rPr>
          <w:b/>
        </w:rPr>
      </w:pPr>
      <w:r w:rsidRPr="008F3B58">
        <w:rPr>
          <w:b/>
        </w:rPr>
        <w:t>Fikri ve Sınaî Mülkiyet Hakları</w:t>
      </w:r>
    </w:p>
    <w:p w14:paraId="4C726E3C" w14:textId="4807E68A" w:rsidR="008F3B58" w:rsidRPr="002F6657" w:rsidRDefault="008F3B58" w:rsidP="006E4225">
      <w:pPr>
        <w:widowControl w:val="0"/>
        <w:autoSpaceDE w:val="0"/>
        <w:autoSpaceDN w:val="0"/>
        <w:adjustRightInd w:val="0"/>
        <w:spacing w:after="0" w:line="280" w:lineRule="exact"/>
        <w:jc w:val="both"/>
        <w:rPr>
          <w:spacing w:val="-2"/>
        </w:rPr>
      </w:pPr>
      <w:r>
        <w:t>İş bu fizibilite raporu hizmet alımının sonucunda elde edilecek çıktıların, raporların ve ilgili diğer belgelerin mülkiyeti ve isim hakkı ile fikri ve sınaî mülkiyet</w:t>
      </w:r>
      <w:r w:rsidR="00BF74E2">
        <w:t xml:space="preserve"> hakları</w:t>
      </w:r>
      <w:r w:rsidR="00AE6053">
        <w:t>nın tamamı</w:t>
      </w:r>
      <w:r w:rsidR="00BF74E2">
        <w:t xml:space="preserve"> idareye</w:t>
      </w:r>
      <w:r>
        <w:t xml:space="preserve"> aittir</w:t>
      </w:r>
      <w:r>
        <w:rPr>
          <w:spacing w:val="-2"/>
        </w:rPr>
        <w:t>.</w:t>
      </w:r>
    </w:p>
    <w:p w14:paraId="5CFBCCCF" w14:textId="77777777" w:rsidR="008F3B58" w:rsidRDefault="008F3B58" w:rsidP="00A52F57">
      <w:pPr>
        <w:jc w:val="both"/>
      </w:pPr>
    </w:p>
    <w:p w14:paraId="42ED194F" w14:textId="77777777" w:rsidR="008F3B58" w:rsidRPr="008F3B58" w:rsidRDefault="008F3B58" w:rsidP="00A52F57">
      <w:pPr>
        <w:jc w:val="both"/>
        <w:rPr>
          <w:b/>
        </w:rPr>
      </w:pPr>
      <w:r w:rsidRPr="008F3B58">
        <w:rPr>
          <w:b/>
        </w:rPr>
        <w:t>Damga Vergisi:</w:t>
      </w:r>
    </w:p>
    <w:p w14:paraId="1CF0CC0F" w14:textId="2EA32D86" w:rsidR="000729CB" w:rsidRDefault="002A54C7" w:rsidP="00A52F57">
      <w:pPr>
        <w:jc w:val="both"/>
      </w:pPr>
      <w:r w:rsidRPr="00805118">
        <w:t xml:space="preserve">İş bu sözleşmenin her bir nüshası damga vergisine tabi olup </w:t>
      </w:r>
      <w:r w:rsidR="00683C60">
        <w:t>1</w:t>
      </w:r>
      <w:bookmarkStart w:id="1" w:name="_GoBack"/>
      <w:bookmarkEnd w:id="1"/>
      <w:r w:rsidRPr="00805118">
        <w:t xml:space="preserve"> orijinal nüsha halinde düzenlenen işbu sözleşmenin imzalanmasından doğan damga vergisinin ödenmesi yükümlülüğü </w:t>
      </w:r>
      <w:r w:rsidRPr="002751AA">
        <w:t>yükleniciye</w:t>
      </w:r>
      <w:r w:rsidRPr="00805118">
        <w:t xml:space="preserve"> aittir.</w:t>
      </w:r>
    </w:p>
    <w:p w14:paraId="4906E749" w14:textId="28E3A51A" w:rsidR="003543B2" w:rsidRDefault="003543B2" w:rsidP="00A52F57">
      <w:pPr>
        <w:jc w:val="both"/>
      </w:pPr>
    </w:p>
    <w:p w14:paraId="40419828" w14:textId="631FFA65" w:rsidR="003543B2" w:rsidRPr="00F45401" w:rsidRDefault="003543B2" w:rsidP="003543B2">
      <w:pPr>
        <w:ind w:firstLine="708"/>
        <w:jc w:val="both"/>
      </w:pPr>
      <w:r>
        <w:t>YÜKLENİCİ</w:t>
      </w:r>
      <w:r>
        <w:tab/>
      </w:r>
      <w:r>
        <w:tab/>
      </w:r>
      <w:r>
        <w:tab/>
      </w:r>
      <w:r>
        <w:tab/>
      </w:r>
      <w:r>
        <w:tab/>
      </w:r>
      <w:r>
        <w:tab/>
      </w:r>
      <w:r>
        <w:tab/>
        <w:t>İDARE</w:t>
      </w:r>
      <w:r>
        <w:tab/>
      </w:r>
      <w:r>
        <w:tab/>
      </w:r>
      <w:r>
        <w:tab/>
      </w:r>
      <w:r>
        <w:tab/>
      </w:r>
      <w:r>
        <w:tab/>
      </w:r>
      <w:r>
        <w:tab/>
      </w:r>
    </w:p>
    <w:sectPr w:rsidR="003543B2" w:rsidRPr="00F45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2C11"/>
    <w:multiLevelType w:val="multilevel"/>
    <w:tmpl w:val="969418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889"/>
        </w:tabs>
        <w:ind w:left="5889" w:hanging="36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 w15:restartNumberingAfterBreak="0">
    <w:nsid w:val="0CFE1CA2"/>
    <w:multiLevelType w:val="multilevel"/>
    <w:tmpl w:val="6254C448"/>
    <w:lvl w:ilvl="0">
      <w:start w:val="7"/>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2" w15:restartNumberingAfterBreak="0">
    <w:nsid w:val="0FFF4C87"/>
    <w:multiLevelType w:val="hybridMultilevel"/>
    <w:tmpl w:val="55CAA34C"/>
    <w:lvl w:ilvl="0" w:tplc="50A063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9B3BC1"/>
    <w:multiLevelType w:val="hybridMultilevel"/>
    <w:tmpl w:val="7B8ACFEE"/>
    <w:lvl w:ilvl="0" w:tplc="6428BC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2F185E"/>
    <w:multiLevelType w:val="hybridMultilevel"/>
    <w:tmpl w:val="211210B2"/>
    <w:lvl w:ilvl="0" w:tplc="50A063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9A3140"/>
    <w:multiLevelType w:val="hybridMultilevel"/>
    <w:tmpl w:val="094CE864"/>
    <w:lvl w:ilvl="0" w:tplc="50A063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1F67B5"/>
    <w:multiLevelType w:val="hybridMultilevel"/>
    <w:tmpl w:val="2A80CBB6"/>
    <w:lvl w:ilvl="0" w:tplc="50A063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98537D"/>
    <w:multiLevelType w:val="hybridMultilevel"/>
    <w:tmpl w:val="9BAA7510"/>
    <w:lvl w:ilvl="0" w:tplc="50A063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DD61A77"/>
    <w:multiLevelType w:val="hybridMultilevel"/>
    <w:tmpl w:val="2A80CBB6"/>
    <w:lvl w:ilvl="0" w:tplc="50A063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473A3D"/>
    <w:multiLevelType w:val="hybridMultilevel"/>
    <w:tmpl w:val="3C9A53AC"/>
    <w:lvl w:ilvl="0" w:tplc="E17CD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6"/>
  </w:num>
  <w:num w:numId="5">
    <w:abstractNumId w:val="8"/>
  </w:num>
  <w:num w:numId="6">
    <w:abstractNumId w:val="4"/>
  </w:num>
  <w:num w:numId="7">
    <w:abstractNumId w:val="2"/>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30"/>
    <w:rsid w:val="000606DB"/>
    <w:rsid w:val="000710FC"/>
    <w:rsid w:val="000729CB"/>
    <w:rsid w:val="00087779"/>
    <w:rsid w:val="000B52CE"/>
    <w:rsid w:val="000E44CE"/>
    <w:rsid w:val="000E6B62"/>
    <w:rsid w:val="00100103"/>
    <w:rsid w:val="00100699"/>
    <w:rsid w:val="001219D6"/>
    <w:rsid w:val="00134052"/>
    <w:rsid w:val="00156E20"/>
    <w:rsid w:val="00180B19"/>
    <w:rsid w:val="001A07C1"/>
    <w:rsid w:val="001A1801"/>
    <w:rsid w:val="001E75C1"/>
    <w:rsid w:val="00220584"/>
    <w:rsid w:val="00220EA4"/>
    <w:rsid w:val="002211F6"/>
    <w:rsid w:val="00242EA5"/>
    <w:rsid w:val="002751AA"/>
    <w:rsid w:val="002820BD"/>
    <w:rsid w:val="002A1136"/>
    <w:rsid w:val="002A54C7"/>
    <w:rsid w:val="002B302E"/>
    <w:rsid w:val="002D1F30"/>
    <w:rsid w:val="00307B00"/>
    <w:rsid w:val="00326F21"/>
    <w:rsid w:val="003543B2"/>
    <w:rsid w:val="003B569F"/>
    <w:rsid w:val="004256AF"/>
    <w:rsid w:val="0045444B"/>
    <w:rsid w:val="00465E2F"/>
    <w:rsid w:val="004A57B9"/>
    <w:rsid w:val="004A72A2"/>
    <w:rsid w:val="00501AA6"/>
    <w:rsid w:val="00535177"/>
    <w:rsid w:val="005574D1"/>
    <w:rsid w:val="0057658C"/>
    <w:rsid w:val="005A2062"/>
    <w:rsid w:val="005B0C20"/>
    <w:rsid w:val="005D16FB"/>
    <w:rsid w:val="005F2BBD"/>
    <w:rsid w:val="005F5F7C"/>
    <w:rsid w:val="00670DF7"/>
    <w:rsid w:val="00683C60"/>
    <w:rsid w:val="0069158B"/>
    <w:rsid w:val="006A71BB"/>
    <w:rsid w:val="006A7D01"/>
    <w:rsid w:val="006C5667"/>
    <w:rsid w:val="006E235A"/>
    <w:rsid w:val="006E4225"/>
    <w:rsid w:val="006F71F4"/>
    <w:rsid w:val="00715F0D"/>
    <w:rsid w:val="007230D8"/>
    <w:rsid w:val="0076380E"/>
    <w:rsid w:val="007750DC"/>
    <w:rsid w:val="007C0097"/>
    <w:rsid w:val="00805118"/>
    <w:rsid w:val="00814150"/>
    <w:rsid w:val="008402BE"/>
    <w:rsid w:val="008613D2"/>
    <w:rsid w:val="00883FBA"/>
    <w:rsid w:val="00896A07"/>
    <w:rsid w:val="008970F4"/>
    <w:rsid w:val="008D18F6"/>
    <w:rsid w:val="008F3B58"/>
    <w:rsid w:val="008F5019"/>
    <w:rsid w:val="008F6745"/>
    <w:rsid w:val="00935A0D"/>
    <w:rsid w:val="00941FE9"/>
    <w:rsid w:val="00942115"/>
    <w:rsid w:val="009660E7"/>
    <w:rsid w:val="009B5F6B"/>
    <w:rsid w:val="009D18CE"/>
    <w:rsid w:val="009D202A"/>
    <w:rsid w:val="009E0794"/>
    <w:rsid w:val="009E2FFF"/>
    <w:rsid w:val="009F75C8"/>
    <w:rsid w:val="00A04BCC"/>
    <w:rsid w:val="00A35593"/>
    <w:rsid w:val="00A4244C"/>
    <w:rsid w:val="00A52F57"/>
    <w:rsid w:val="00A53C22"/>
    <w:rsid w:val="00A82C72"/>
    <w:rsid w:val="00A96231"/>
    <w:rsid w:val="00AE024F"/>
    <w:rsid w:val="00AE6053"/>
    <w:rsid w:val="00B14932"/>
    <w:rsid w:val="00B24433"/>
    <w:rsid w:val="00B507EB"/>
    <w:rsid w:val="00BC672E"/>
    <w:rsid w:val="00BE5BF6"/>
    <w:rsid w:val="00BF2DB0"/>
    <w:rsid w:val="00BF74E2"/>
    <w:rsid w:val="00C0106F"/>
    <w:rsid w:val="00C238A9"/>
    <w:rsid w:val="00C31C7F"/>
    <w:rsid w:val="00C510FF"/>
    <w:rsid w:val="00CB206C"/>
    <w:rsid w:val="00CC4950"/>
    <w:rsid w:val="00D07BEB"/>
    <w:rsid w:val="00D639EB"/>
    <w:rsid w:val="00DD2AB5"/>
    <w:rsid w:val="00DE3571"/>
    <w:rsid w:val="00E17DB5"/>
    <w:rsid w:val="00E63420"/>
    <w:rsid w:val="00E76076"/>
    <w:rsid w:val="00E9698E"/>
    <w:rsid w:val="00EA60DB"/>
    <w:rsid w:val="00ED4730"/>
    <w:rsid w:val="00ED7D7C"/>
    <w:rsid w:val="00F12E48"/>
    <w:rsid w:val="00F448AC"/>
    <w:rsid w:val="00F45401"/>
    <w:rsid w:val="00FC79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0EA9F"/>
  <w15:chartTrackingRefBased/>
  <w15:docId w15:val="{8220C188-9E88-4839-A494-D3208B61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12E48"/>
    <w:pPr>
      <w:ind w:left="720"/>
      <w:contextualSpacing/>
    </w:pPr>
  </w:style>
  <w:style w:type="paragraph" w:customStyle="1" w:styleId="Default">
    <w:name w:val="Default"/>
    <w:rsid w:val="00BC672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6E42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4225"/>
    <w:rPr>
      <w:rFonts w:ascii="Segoe UI" w:hAnsi="Segoe UI" w:cs="Segoe UI"/>
      <w:sz w:val="18"/>
      <w:szCs w:val="18"/>
    </w:rPr>
  </w:style>
  <w:style w:type="character" w:styleId="AklamaBavurusu">
    <w:name w:val="annotation reference"/>
    <w:basedOn w:val="VarsaylanParagrafYazTipi"/>
    <w:uiPriority w:val="99"/>
    <w:semiHidden/>
    <w:unhideWhenUsed/>
    <w:rsid w:val="00AE6053"/>
    <w:rPr>
      <w:sz w:val="16"/>
      <w:szCs w:val="16"/>
    </w:rPr>
  </w:style>
  <w:style w:type="paragraph" w:styleId="AklamaMetni">
    <w:name w:val="annotation text"/>
    <w:basedOn w:val="Normal"/>
    <w:link w:val="AklamaMetniChar"/>
    <w:uiPriority w:val="99"/>
    <w:semiHidden/>
    <w:unhideWhenUsed/>
    <w:rsid w:val="00AE605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E6053"/>
    <w:rPr>
      <w:sz w:val="20"/>
      <w:szCs w:val="20"/>
    </w:rPr>
  </w:style>
  <w:style w:type="paragraph" w:styleId="AklamaKonusu">
    <w:name w:val="annotation subject"/>
    <w:basedOn w:val="AklamaMetni"/>
    <w:next w:val="AklamaMetni"/>
    <w:link w:val="AklamaKonusuChar"/>
    <w:uiPriority w:val="99"/>
    <w:semiHidden/>
    <w:unhideWhenUsed/>
    <w:rsid w:val="00AE6053"/>
    <w:rPr>
      <w:b/>
      <w:bCs/>
    </w:rPr>
  </w:style>
  <w:style w:type="character" w:customStyle="1" w:styleId="AklamaKonusuChar">
    <w:name w:val="Açıklama Konusu Char"/>
    <w:basedOn w:val="AklamaMetniChar"/>
    <w:link w:val="AklamaKonusu"/>
    <w:uiPriority w:val="99"/>
    <w:semiHidden/>
    <w:rsid w:val="00AE6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1079</Words>
  <Characters>6154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Cenap Püsküllü</dc:creator>
  <cp:keywords/>
  <dc:description/>
  <cp:lastModifiedBy>user</cp:lastModifiedBy>
  <cp:revision>11</cp:revision>
  <cp:lastPrinted>2018-08-10T12:23:00Z</cp:lastPrinted>
  <dcterms:created xsi:type="dcterms:W3CDTF">2018-08-28T07:25:00Z</dcterms:created>
  <dcterms:modified xsi:type="dcterms:W3CDTF">2019-12-17T07:03:00Z</dcterms:modified>
</cp:coreProperties>
</file>